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950"/>
      </w:tblGrid>
      <w:tr w:rsidR="00B14D6C" w:rsidTr="001A67ED">
        <w:tc>
          <w:tcPr>
            <w:tcW w:w="12950" w:type="dxa"/>
          </w:tcPr>
          <w:p w:rsidR="00B14D6C" w:rsidRPr="00851326" w:rsidRDefault="00B14D6C" w:rsidP="001A67ED">
            <w:pPr>
              <w:pStyle w:val="ListParagraph"/>
              <w:numPr>
                <w:ilvl w:val="0"/>
                <w:numId w:val="1"/>
              </w:numPr>
              <w:spacing w:after="40"/>
              <w:ind w:left="346"/>
              <w:contextualSpacing w:val="0"/>
              <w:jc w:val="center"/>
              <w:rPr>
                <w:b/>
              </w:rPr>
            </w:pPr>
            <w:r w:rsidRPr="00851326">
              <w:rPr>
                <w:b/>
                <w:color w:val="FF0000"/>
              </w:rPr>
              <w:t xml:space="preserve">For clients </w:t>
            </w:r>
            <w:r w:rsidRPr="00BA220B">
              <w:rPr>
                <w:b/>
                <w:color w:val="FF0000"/>
                <w:u w:val="single"/>
              </w:rPr>
              <w:t>upgrading</w:t>
            </w:r>
            <w:r w:rsidRPr="00851326">
              <w:rPr>
                <w:b/>
                <w:color w:val="FF0000"/>
              </w:rPr>
              <w:t xml:space="preserve"> to ISO </w:t>
            </w:r>
            <w:r>
              <w:rPr>
                <w:b/>
                <w:color w:val="FF0000"/>
              </w:rPr>
              <w:t>14</w:t>
            </w:r>
            <w:r w:rsidRPr="00851326">
              <w:rPr>
                <w:b/>
                <w:color w:val="FF0000"/>
              </w:rPr>
              <w:t xml:space="preserve">001:2015 from ISO </w:t>
            </w:r>
            <w:r>
              <w:rPr>
                <w:b/>
                <w:color w:val="FF0000"/>
              </w:rPr>
              <w:t>14</w:t>
            </w:r>
            <w:r w:rsidRPr="00851326">
              <w:rPr>
                <w:b/>
                <w:color w:val="FF0000"/>
              </w:rPr>
              <w:t>001:200</w:t>
            </w:r>
            <w:r>
              <w:rPr>
                <w:b/>
                <w:color w:val="FF0000"/>
              </w:rPr>
              <w:t>4</w:t>
            </w:r>
            <w:r w:rsidRPr="00851326">
              <w:rPr>
                <w:b/>
                <w:color w:val="FF0000"/>
              </w:rPr>
              <w:t>, PRI Registrar requires that this matrix be completed in its entirety prior to the scheduled transition audit, and emailed to the auditor.</w:t>
            </w:r>
          </w:p>
        </w:tc>
      </w:tr>
      <w:tr w:rsidR="00B14D6C" w:rsidTr="001A67ED">
        <w:tc>
          <w:tcPr>
            <w:tcW w:w="12950" w:type="dxa"/>
          </w:tcPr>
          <w:p w:rsidR="00B14D6C" w:rsidRPr="00835D49" w:rsidRDefault="00B14D6C" w:rsidP="001A67ED">
            <w:pPr>
              <w:pStyle w:val="ListParagraph"/>
              <w:numPr>
                <w:ilvl w:val="0"/>
                <w:numId w:val="1"/>
              </w:numPr>
              <w:spacing w:after="40"/>
              <w:ind w:left="346"/>
              <w:contextualSpacing w:val="0"/>
              <w:jc w:val="both"/>
            </w:pPr>
            <w:r w:rsidRPr="00835D49">
              <w:t xml:space="preserve">Per ISO </w:t>
            </w:r>
            <w:r>
              <w:t>14</w:t>
            </w:r>
            <w:r w:rsidRPr="00835D49">
              <w:t xml:space="preserve">001:2015 4.4, “the organization shall </w:t>
            </w:r>
            <w:r>
              <w:t>establish, implement, maintain and continually improve an environmental management system, including the processes need and their interactions…</w:t>
            </w:r>
            <w:r w:rsidRPr="00835D49">
              <w:t xml:space="preserve">” Prior to the Stage 1 audit, or ISO </w:t>
            </w:r>
            <w:r>
              <w:t>14</w:t>
            </w:r>
            <w:r w:rsidRPr="00835D49">
              <w:t xml:space="preserve">001:2015 upgrade audit, the client organization shall list all processes in the table below. If additional columns are necessary, multiple forms may be used. </w:t>
            </w:r>
          </w:p>
        </w:tc>
      </w:tr>
      <w:tr w:rsidR="00B14D6C" w:rsidTr="001A67ED">
        <w:tc>
          <w:tcPr>
            <w:tcW w:w="12950" w:type="dxa"/>
          </w:tcPr>
          <w:p w:rsidR="00B14D6C" w:rsidRPr="00835D49" w:rsidRDefault="00B14D6C" w:rsidP="001A67ED">
            <w:pPr>
              <w:pStyle w:val="ListParagraph"/>
              <w:numPr>
                <w:ilvl w:val="0"/>
                <w:numId w:val="1"/>
              </w:numPr>
              <w:spacing w:after="40"/>
              <w:ind w:left="346"/>
              <w:contextualSpacing w:val="0"/>
              <w:jc w:val="both"/>
            </w:pPr>
            <w:r>
              <w:t>The client</w:t>
            </w:r>
            <w:r w:rsidRPr="00835D49">
              <w:t xml:space="preserve"> shall indicate associated standard elements during their Stage 1 or </w:t>
            </w:r>
            <w:r>
              <w:t xml:space="preserve">prior to </w:t>
            </w:r>
            <w:r w:rsidRPr="00835D49">
              <w:t xml:space="preserve">ISO </w:t>
            </w:r>
            <w:r>
              <w:t>14</w:t>
            </w:r>
            <w:r w:rsidRPr="00835D49">
              <w:t xml:space="preserve">001:2015 transition audit.  When complete, the processes below should cover all elements of the ISO </w:t>
            </w:r>
            <w:r>
              <w:t>14</w:t>
            </w:r>
            <w:r w:rsidRPr="00835D49">
              <w:t>001:2015 standard.</w:t>
            </w:r>
          </w:p>
        </w:tc>
      </w:tr>
      <w:tr w:rsidR="00B14D6C" w:rsidTr="001A67ED">
        <w:tc>
          <w:tcPr>
            <w:tcW w:w="12950" w:type="dxa"/>
          </w:tcPr>
          <w:p w:rsidR="00B14D6C" w:rsidRPr="00835D49" w:rsidRDefault="00B14D6C" w:rsidP="001A67ED">
            <w:pPr>
              <w:pStyle w:val="ListParagraph"/>
              <w:numPr>
                <w:ilvl w:val="0"/>
                <w:numId w:val="1"/>
              </w:numPr>
              <w:spacing w:after="40"/>
              <w:ind w:left="346"/>
              <w:contextualSpacing w:val="0"/>
              <w:jc w:val="both"/>
              <w:rPr>
                <w:b/>
              </w:rPr>
            </w:pPr>
            <w:r w:rsidRPr="00634174">
              <w:rPr>
                <w:b/>
              </w:rPr>
              <w:t xml:space="preserve">If this document </w:t>
            </w:r>
            <w:r>
              <w:rPr>
                <w:b/>
              </w:rPr>
              <w:t>is</w:t>
            </w:r>
            <w:r w:rsidRPr="00634174">
              <w:rPr>
                <w:b/>
              </w:rPr>
              <w:t xml:space="preserve"> not completed prior to the start of the transition audit, transition to ISO </w:t>
            </w:r>
            <w:r>
              <w:rPr>
                <w:b/>
              </w:rPr>
              <w:t>14</w:t>
            </w:r>
            <w:r w:rsidRPr="00634174">
              <w:rPr>
                <w:b/>
              </w:rPr>
              <w:t>001:2015 may not be successful, and additional audit review time may be required.</w:t>
            </w:r>
          </w:p>
        </w:tc>
      </w:tr>
    </w:tbl>
    <w:p w:rsidR="00B14D6C" w:rsidRDefault="00B14D6C" w:rsidP="000F526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455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A03FE9" w:rsidRPr="00DF618D" w:rsidTr="00BF463C">
        <w:tc>
          <w:tcPr>
            <w:tcW w:w="6170" w:type="dxa"/>
            <w:gridSpan w:val="2"/>
            <w:vMerge w:val="restart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Standard Elements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Operational Processes</w:t>
            </w:r>
          </w:p>
        </w:tc>
      </w:tr>
      <w:tr w:rsidR="00A03FE9" w:rsidRPr="00DF618D" w:rsidTr="00BF463C">
        <w:trPr>
          <w:cantSplit/>
          <w:trHeight w:val="287"/>
        </w:trPr>
        <w:tc>
          <w:tcPr>
            <w:tcW w:w="6170" w:type="dxa"/>
            <w:gridSpan w:val="2"/>
            <w:vMerge/>
            <w:tcBorders>
              <w:bottom w:val="nil"/>
            </w:tcBorders>
            <w:shd w:val="clear" w:color="auto" w:fill="D9D9D9" w:themeFill="background1" w:themeFillShade="D9"/>
          </w:tcPr>
          <w:p w:rsidR="00A03FE9" w:rsidRPr="00DF618D" w:rsidRDefault="00A03FE9" w:rsidP="00BF463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452" w:type="dxa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15</w:t>
            </w:r>
          </w:p>
        </w:tc>
      </w:tr>
      <w:tr w:rsidR="00A03FE9" w:rsidRPr="00DF618D" w:rsidTr="00BF463C">
        <w:trPr>
          <w:cantSplit/>
          <w:trHeight w:val="782"/>
        </w:trPr>
        <w:tc>
          <w:tcPr>
            <w:tcW w:w="6170" w:type="dxa"/>
            <w:gridSpan w:val="2"/>
            <w:vMerge/>
            <w:tcBorders>
              <w:bottom w:val="nil"/>
            </w:tcBorders>
            <w:shd w:val="clear" w:color="auto" w:fill="D9D9D9" w:themeFill="background1" w:themeFillShade="D9"/>
          </w:tcPr>
          <w:p w:rsidR="00A03FE9" w:rsidRPr="00DF618D" w:rsidRDefault="00A03FE9" w:rsidP="00BF463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A03FE9" w:rsidRPr="00DF618D" w:rsidRDefault="00A03FE9" w:rsidP="00BF463C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</w:tr>
      <w:tr w:rsidR="00A03FE9" w:rsidRPr="00DF618D" w:rsidTr="00BF463C">
        <w:trPr>
          <w:cantSplit/>
          <w:trHeight w:val="1061"/>
        </w:trPr>
        <w:tc>
          <w:tcPr>
            <w:tcW w:w="6170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b/>
              </w:rPr>
            </w:pPr>
            <w:r w:rsidRPr="00FC1A42">
              <w:rPr>
                <w:rFonts w:asciiTheme="minorHAnsi" w:hAnsiTheme="minorHAnsi"/>
                <w:i/>
                <w:sz w:val="16"/>
              </w:rPr>
              <w:t>(List the operational processes controlling the EMS reviewed during the current audit, and indicate the ISO 14001 clauses assessed in conjunction with the process)</w:t>
            </w: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  <w:tc>
          <w:tcPr>
            <w:tcW w:w="452" w:type="dxa"/>
            <w:vMerge/>
            <w:textDirection w:val="btLr"/>
          </w:tcPr>
          <w:p w:rsidR="00A03FE9" w:rsidRPr="00DF618D" w:rsidRDefault="00A03FE9" w:rsidP="00BF463C">
            <w:pPr>
              <w:ind w:left="113" w:right="113"/>
              <w:rPr>
                <w:b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Context of the Organization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4.1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Understanding the organization and its context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4.2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Understanding the needs and expectations of interested parties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4.3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Determining the scope of the EMS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4.4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Environmental management system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Leadership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 xml:space="preserve">Leadership and commitment  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Environmental policy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Organizational roles, responsibility and authorities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Planning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6.1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Actions to address risks and opportunities</w:t>
            </w:r>
          </w:p>
        </w:tc>
        <w:tc>
          <w:tcPr>
            <w:tcW w:w="6780" w:type="dxa"/>
            <w:gridSpan w:val="15"/>
            <w:shd w:val="clear" w:color="auto" w:fill="F2F2F2" w:themeFill="background1" w:themeFillShade="F2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Environmental aspects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6.1.3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Compliance obligations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6.1.4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Planning action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6.2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Environmental objectives and planning to achieve them</w:t>
            </w:r>
          </w:p>
        </w:tc>
        <w:tc>
          <w:tcPr>
            <w:tcW w:w="6780" w:type="dxa"/>
            <w:gridSpan w:val="15"/>
            <w:shd w:val="clear" w:color="auto" w:fill="F2F2F2" w:themeFill="background1" w:themeFillShade="F2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bookmarkStart w:id="0" w:name="_GoBack"/>
        <w:bookmarkEnd w:id="0"/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6.2.1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Environmental objectives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lastRenderedPageBreak/>
              <w:t>6.2.2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Planning actions to achieve environmental objectives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Support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Resources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Competence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Awareness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7.4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Communication</w:t>
            </w:r>
          </w:p>
        </w:tc>
        <w:tc>
          <w:tcPr>
            <w:tcW w:w="6780" w:type="dxa"/>
            <w:gridSpan w:val="15"/>
            <w:shd w:val="clear" w:color="auto" w:fill="F2F2F2" w:themeFill="background1" w:themeFillShade="F2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7.4.1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7.4.2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Internal communication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7.4.3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External communication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7.5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Documented information</w:t>
            </w:r>
          </w:p>
        </w:tc>
        <w:tc>
          <w:tcPr>
            <w:tcW w:w="6780" w:type="dxa"/>
            <w:gridSpan w:val="15"/>
            <w:shd w:val="clear" w:color="auto" w:fill="F2F2F2" w:themeFill="background1" w:themeFillShade="F2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7.5.1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7.5.2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Creating and updating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7.5.3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Control of documented information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Operation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Operational planning and control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8.2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Emergency preparedness and response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Performance Evaluation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9.1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Monitoring, measurement, analysis and evaluation</w:t>
            </w:r>
          </w:p>
        </w:tc>
        <w:tc>
          <w:tcPr>
            <w:tcW w:w="6780" w:type="dxa"/>
            <w:gridSpan w:val="15"/>
            <w:shd w:val="clear" w:color="auto" w:fill="F2F2F2" w:themeFill="background1" w:themeFillShade="F2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9.1.1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9.1.2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Evaluation of compliance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i/>
              </w:rPr>
            </w:pPr>
            <w:r w:rsidRPr="00DF618D">
              <w:rPr>
                <w:rFonts w:asciiTheme="minorHAnsi" w:hAnsiTheme="minorHAnsi"/>
                <w:i/>
              </w:rPr>
              <w:t>9.2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Internal audit</w:t>
            </w:r>
          </w:p>
        </w:tc>
        <w:tc>
          <w:tcPr>
            <w:tcW w:w="6780" w:type="dxa"/>
            <w:gridSpan w:val="15"/>
            <w:shd w:val="clear" w:color="auto" w:fill="F2F2F2" w:themeFill="background1" w:themeFillShade="F2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9.2.1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9.2.2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Internal audit program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9.3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 w:rsidRPr="00DF618D">
              <w:rPr>
                <w:rFonts w:asciiTheme="minorHAnsi" w:hAnsiTheme="minorHAnsi"/>
              </w:rPr>
              <w:t>Management review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5455" w:type="dxa"/>
            <w:shd w:val="clear" w:color="auto" w:fill="D9D9D9" w:themeFill="background1" w:themeFillShade="D9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  <w:b/>
              </w:rPr>
            </w:pPr>
            <w:r w:rsidRPr="00DF618D">
              <w:rPr>
                <w:rFonts w:asciiTheme="minorHAnsi" w:hAnsiTheme="minorHAnsi"/>
                <w:b/>
              </w:rPr>
              <w:t>Improvement</w:t>
            </w:r>
          </w:p>
        </w:tc>
        <w:tc>
          <w:tcPr>
            <w:tcW w:w="6780" w:type="dxa"/>
            <w:gridSpan w:val="15"/>
            <w:shd w:val="clear" w:color="auto" w:fill="D9D9D9" w:themeFill="background1" w:themeFillShade="D9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10.1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10.2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Nonconformity and corrective action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  <w:tr w:rsidR="00A03FE9" w:rsidRPr="00DF618D" w:rsidTr="00BF463C">
        <w:tc>
          <w:tcPr>
            <w:tcW w:w="71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10.3</w:t>
            </w:r>
          </w:p>
        </w:tc>
        <w:tc>
          <w:tcPr>
            <w:tcW w:w="5455" w:type="dxa"/>
            <w:shd w:val="clear" w:color="auto" w:fill="F2F2F2" w:themeFill="background1" w:themeFillShade="F2"/>
          </w:tcPr>
          <w:p w:rsidR="00A03FE9" w:rsidRPr="00DF618D" w:rsidRDefault="00A03FE9" w:rsidP="00BF46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Continual improvement</w:t>
            </w: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  <w:vAlign w:val="center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A03FE9" w:rsidRPr="00DF618D" w:rsidRDefault="00A03FE9" w:rsidP="00BF463C">
            <w:pPr>
              <w:jc w:val="center"/>
              <w:rPr>
                <w:rFonts w:asciiTheme="minorHAnsi" w:hAnsiTheme="minorHAnsi"/>
              </w:rPr>
            </w:pPr>
          </w:p>
        </w:tc>
      </w:tr>
    </w:tbl>
    <w:p w:rsidR="00A03FE9" w:rsidRDefault="00A03FE9"/>
    <w:sectPr w:rsidR="00A03FE9" w:rsidSect="00FC1A42">
      <w:headerReference w:type="default" r:id="rId7"/>
      <w:foot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FE9" w:rsidRDefault="00A03FE9" w:rsidP="00A03FE9">
      <w:pPr>
        <w:spacing w:after="0" w:line="240" w:lineRule="auto"/>
      </w:pPr>
      <w:r>
        <w:separator/>
      </w:r>
    </w:p>
  </w:endnote>
  <w:endnote w:type="continuationSeparator" w:id="0">
    <w:p w:rsidR="00A03FE9" w:rsidRDefault="00A03FE9" w:rsidP="00A03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FE9" w:rsidRDefault="00A03FE9" w:rsidP="00A03FE9">
    <w:pPr>
      <w:pStyle w:val="Footer"/>
      <w:tabs>
        <w:tab w:val="clear" w:pos="4680"/>
        <w:tab w:val="clear" w:pos="9360"/>
        <w:tab w:val="center" w:pos="6480"/>
        <w:tab w:val="right" w:pos="12240"/>
      </w:tabs>
      <w:ind w:left="360"/>
    </w:pPr>
    <w:r>
      <w:t xml:space="preserve">REG-FRM </w:t>
    </w:r>
    <w:r w:rsidR="009922AE">
      <w:t>129a</w:t>
    </w:r>
    <w:r>
      <w:tab/>
    </w:r>
    <w:r w:rsidR="009922AE">
      <w:t>8-Dec</w:t>
    </w:r>
    <w:r>
      <w:t>-16</w:t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22AE">
      <w:rPr>
        <w:noProof/>
      </w:rPr>
      <w:t>2</w:t>
    </w:r>
    <w:r>
      <w:fldChar w:fldCharType="end"/>
    </w:r>
    <w:r>
      <w:t xml:space="preserve"> of </w:t>
    </w:r>
    <w:fldSimple w:instr=" NUMPAGES  \* Arabic  \* MERGEFORMAT ">
      <w:r w:rsidR="009922AE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FE9" w:rsidRDefault="00A03FE9" w:rsidP="00A03FE9">
      <w:pPr>
        <w:spacing w:after="0" w:line="240" w:lineRule="auto"/>
      </w:pPr>
      <w:r>
        <w:separator/>
      </w:r>
    </w:p>
  </w:footnote>
  <w:footnote w:type="continuationSeparator" w:id="0">
    <w:p w:rsidR="00A03FE9" w:rsidRDefault="00A03FE9" w:rsidP="00A03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5395"/>
      <w:gridCol w:w="7555"/>
    </w:tblGrid>
    <w:tr w:rsidR="00A03FE9" w:rsidTr="00BF463C">
      <w:tc>
        <w:tcPr>
          <w:tcW w:w="5395" w:type="dxa"/>
        </w:tcPr>
        <w:p w:rsidR="00A03FE9" w:rsidRDefault="00A03FE9" w:rsidP="00A03FE9">
          <w:pPr>
            <w:pStyle w:val="Header"/>
          </w:pPr>
          <w:r>
            <w:rPr>
              <w:noProof/>
            </w:rPr>
            <w:drawing>
              <wp:inline distT="0" distB="0" distL="0" distR="0" wp14:anchorId="4D02F27B" wp14:editId="051D44E2">
                <wp:extent cx="2874874" cy="406232"/>
                <wp:effectExtent l="0" t="0" r="1905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RI_b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2412" cy="4143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55" w:type="dxa"/>
          <w:vAlign w:val="center"/>
        </w:tcPr>
        <w:p w:rsidR="00A03FE9" w:rsidRPr="00E20871" w:rsidRDefault="00A03FE9" w:rsidP="00A03FE9">
          <w:pPr>
            <w:pStyle w:val="Header"/>
            <w:rPr>
              <w:b/>
            </w:rPr>
          </w:pPr>
          <w:r>
            <w:rPr>
              <w:b/>
              <w:sz w:val="24"/>
            </w:rPr>
            <w:t>ISO 14</w:t>
          </w:r>
          <w:r w:rsidRPr="00E20871">
            <w:rPr>
              <w:b/>
              <w:sz w:val="24"/>
            </w:rPr>
            <w:t xml:space="preserve">001:2015 </w:t>
          </w:r>
          <w:r>
            <w:rPr>
              <w:b/>
              <w:sz w:val="24"/>
            </w:rPr>
            <w:t>E</w:t>
          </w:r>
          <w:r w:rsidRPr="00E20871">
            <w:rPr>
              <w:b/>
              <w:sz w:val="24"/>
            </w:rPr>
            <w:t>MS Matrix</w:t>
          </w:r>
        </w:p>
      </w:tc>
    </w:tr>
  </w:tbl>
  <w:p w:rsidR="00A03FE9" w:rsidRDefault="00A03F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70819"/>
    <w:multiLevelType w:val="hybridMultilevel"/>
    <w:tmpl w:val="88104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8D"/>
    <w:rsid w:val="00054532"/>
    <w:rsid w:val="000F526B"/>
    <w:rsid w:val="00424198"/>
    <w:rsid w:val="004B5BF0"/>
    <w:rsid w:val="004E4E44"/>
    <w:rsid w:val="009922AE"/>
    <w:rsid w:val="00A03FE9"/>
    <w:rsid w:val="00A71B2A"/>
    <w:rsid w:val="00B14D6C"/>
    <w:rsid w:val="00DF618D"/>
    <w:rsid w:val="00E562B5"/>
    <w:rsid w:val="00FC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8F6551"/>
  <w15:chartTrackingRefBased/>
  <w15:docId w15:val="{F6D357C1-F020-482E-9405-D5B2F048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61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6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6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2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3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E9"/>
  </w:style>
  <w:style w:type="paragraph" w:styleId="Footer">
    <w:name w:val="footer"/>
    <w:basedOn w:val="Normal"/>
    <w:link w:val="FooterChar"/>
    <w:uiPriority w:val="99"/>
    <w:unhideWhenUsed/>
    <w:rsid w:val="00A03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E9"/>
  </w:style>
  <w:style w:type="paragraph" w:styleId="ListParagraph">
    <w:name w:val="List Paragraph"/>
    <w:basedOn w:val="Normal"/>
    <w:uiPriority w:val="34"/>
    <w:qFormat/>
    <w:rsid w:val="000F5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Brock</dc:creator>
  <cp:keywords/>
  <dc:description/>
  <cp:lastModifiedBy>Samantha Brock</cp:lastModifiedBy>
  <cp:revision>3</cp:revision>
  <cp:lastPrinted>2016-05-13T15:07:00Z</cp:lastPrinted>
  <dcterms:created xsi:type="dcterms:W3CDTF">2016-12-08T15:35:00Z</dcterms:created>
  <dcterms:modified xsi:type="dcterms:W3CDTF">2016-12-08T15:36:00Z</dcterms:modified>
</cp:coreProperties>
</file>